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3A2DE5" w:rsidP="00D72BEB">
            <w:pPr>
              <w:rPr>
                <w:sz w:val="26"/>
                <w:szCs w:val="26"/>
                <w:lang w:val="uk-UA"/>
              </w:rPr>
            </w:pPr>
            <w:r w:rsidRPr="003A2DE5">
              <w:rPr>
                <w:sz w:val="26"/>
                <w:szCs w:val="26"/>
                <w:lang w:val="uk-UA"/>
              </w:rPr>
              <w:t>Надання послуг зі збирання та вивезення сміття та опалого листя по загальних об'єктах міста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3A2DE5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3A2DE5">
              <w:rPr>
                <w:sz w:val="26"/>
                <w:szCs w:val="26"/>
                <w:lang w:val="uk-UA"/>
              </w:rPr>
              <w:t>Надання послуг зі збирання та вивезення сміття та опалого листя по загальних об'єктах міста</w:t>
            </w:r>
            <w:r w:rsidRPr="00B520E4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A2DE5" w:rsidRPr="003A2DE5">
              <w:rPr>
                <w:sz w:val="26"/>
                <w:szCs w:val="26"/>
                <w:lang w:val="uk-UA"/>
              </w:rPr>
              <w:t>зі збирання та вивезення сміття та опалого листя по загальних об'єктах міста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3A2DE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Очікувана вартість предмета закіпувлі складає </w:t>
            </w:r>
            <w:r w:rsidR="003A2DE5">
              <w:rPr>
                <w:sz w:val="26"/>
                <w:szCs w:val="26"/>
                <w:lang w:val="uk-UA"/>
              </w:rPr>
              <w:t>1 000 000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B0" w:rsidRDefault="00D249B0" w:rsidP="006B39BE">
      <w:r>
        <w:separator/>
      </w:r>
    </w:p>
  </w:endnote>
  <w:endnote w:type="continuationSeparator" w:id="0">
    <w:p w:rsidR="00D249B0" w:rsidRDefault="00D249B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B0" w:rsidRDefault="00D249B0" w:rsidP="006B39BE">
      <w:r>
        <w:separator/>
      </w:r>
    </w:p>
  </w:footnote>
  <w:footnote w:type="continuationSeparator" w:id="0">
    <w:p w:rsidR="00D249B0" w:rsidRDefault="00D249B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5798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F68E-BE10-41FF-B154-0F82BCA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8</cp:revision>
  <cp:lastPrinted>2021-07-23T06:47:00Z</cp:lastPrinted>
  <dcterms:created xsi:type="dcterms:W3CDTF">2021-07-12T06:33:00Z</dcterms:created>
  <dcterms:modified xsi:type="dcterms:W3CDTF">2022-01-24T08:33:00Z</dcterms:modified>
</cp:coreProperties>
</file>